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F" w:rsidRPr="00370581" w:rsidRDefault="00C4601F" w:rsidP="00C4601F">
      <w:pPr>
        <w:ind w:left="-284" w:right="284"/>
        <w:rPr>
          <w:rFonts w:ascii="Verdana" w:hAnsi="Verdana"/>
          <w:b/>
          <w:i/>
        </w:rPr>
      </w:pPr>
      <w:r w:rsidRPr="00370581">
        <w:rPr>
          <w:rFonts w:ascii="Verdana" w:hAnsi="Verdana"/>
          <w:b/>
          <w:i/>
        </w:rPr>
        <w:t>Přehled přehodnocování účinných látek – organismů na úrovni EU dle nařízení Evropského parlamentu a Rady (ES) č. 1107/2009 a předchozího předpisu směrnice Rady 91/414 EHS o uvádění přípravků na ochranu rostlin na trh – účinné mikroorganismy – X. 201</w:t>
      </w:r>
      <w:r>
        <w:rPr>
          <w:rFonts w:ascii="Verdana" w:hAnsi="Verdana"/>
          <w:b/>
          <w:i/>
        </w:rPr>
        <w:t>2</w:t>
      </w:r>
    </w:p>
    <w:p w:rsidR="00C4601F" w:rsidRPr="008E57E9" w:rsidRDefault="00C4601F" w:rsidP="00C4601F">
      <w:pPr>
        <w:ind w:left="0" w:right="52"/>
        <w:rPr>
          <w:rFonts w:ascii="Verdana" w:hAnsi="Verdana"/>
          <w:b/>
          <w:i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709"/>
        <w:gridCol w:w="567"/>
        <w:gridCol w:w="1417"/>
        <w:gridCol w:w="992"/>
        <w:gridCol w:w="1701"/>
        <w:gridCol w:w="1418"/>
      </w:tblGrid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6D93">
              <w:rPr>
                <w:rFonts w:ascii="Calibri" w:hAnsi="Calibri"/>
                <w:b/>
                <w:bCs/>
                <w:color w:val="000000"/>
              </w:rPr>
              <w:t>Susbtance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1271, 410 In, 769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Out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72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pending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20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Others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 (*)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Status </w:t>
            </w: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</w:t>
            </w:r>
            <w:proofErr w:type="spellEnd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(EC) No 1107/2009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</w:rPr>
              <w:t>Expiration</w:t>
            </w:r>
            <w:proofErr w:type="spellEnd"/>
            <w:r w:rsidRPr="00D257D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</w:rPr>
              <w:t>of</w:t>
            </w:r>
            <w:proofErr w:type="spellEnd"/>
            <w:r w:rsidRPr="00D257D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</w:rPr>
              <w:t>approval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Legislation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Remark</w:t>
            </w:r>
            <w:proofErr w:type="spellEnd"/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Adoxophyes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orana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BV-0001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1.2.2013</w:t>
            </w:r>
            <w:proofErr w:type="gram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4" w:tgtFrame="_blank" w:tooltip="Click to open the document" w:history="1">
              <w:proofErr w:type="spellStart"/>
              <w:r w:rsidRPr="007258B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Reg</w:t>
              </w:r>
              <w:proofErr w:type="spellEnd"/>
              <w:r w:rsidRPr="007258B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. (EU) No 746/2012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tgtFrame="_blank" w:history="1">
              <w:proofErr w:type="spellStart"/>
              <w:r w:rsidRPr="007258BD">
                <w:rPr>
                  <w:rFonts w:ascii="Calibri" w:hAnsi="Calibri" w:cs="Calibri"/>
                  <w:color w:val="0000FF"/>
                  <w:sz w:val="22"/>
                  <w:u w:val="single"/>
                </w:rPr>
                <w:t>Extension</w:t>
              </w:r>
              <w:proofErr w:type="spellEnd"/>
              <w:r w:rsidRPr="007258BD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 </w:t>
              </w:r>
              <w:proofErr w:type="spellStart"/>
              <w:r w:rsidRPr="007258BD">
                <w:rPr>
                  <w:rFonts w:ascii="Calibri" w:hAnsi="Calibri" w:cs="Calibri"/>
                  <w:color w:val="0000FF"/>
                  <w:sz w:val="22"/>
                  <w:u w:val="single"/>
                </w:rPr>
                <w:t>provisional</w:t>
              </w:r>
              <w:proofErr w:type="spellEnd"/>
              <w:r w:rsidRPr="007258BD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 </w:t>
              </w:r>
              <w:proofErr w:type="spellStart"/>
              <w:r w:rsidRPr="007258BD">
                <w:rPr>
                  <w:rFonts w:ascii="Calibri" w:hAnsi="Calibri" w:cs="Calibri"/>
                  <w:color w:val="0000FF"/>
                  <w:sz w:val="22"/>
                  <w:u w:val="single"/>
                </w:rPr>
                <w:t>authorisation</w:t>
              </w:r>
              <w:proofErr w:type="spellEnd"/>
              <w:r w:rsidRPr="007258BD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 (2011/490/EU)</w:t>
              </w:r>
            </w:hyperlink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Agrobacterium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radiobacter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2007/442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New´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existing</w:t>
            </w:r>
            <w:proofErr w:type="spellEnd"/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Agrotis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segetum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granulosis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2004/129/EC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Ampelomyces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quisqualis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AQ10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7258BD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31.3. 2015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05/2/</w:t>
            </w:r>
            <w:proofErr w:type="spellStart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7258BD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Aschersonia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aleyrodis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2004/129/EC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Aureobasidium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pullulans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FU, 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08/953/EC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amyloliquefaciens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subsp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plantarum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D747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(2011/253/EU)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firmus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I-1582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2011/123/EU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pumilus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QST 2808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(2011/253/EU)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sphaericus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2007/442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subtilis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str. QST 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BA, 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07/6/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subtilis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IBE 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2007/442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thuringiensis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subsp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izawai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ABTS-1857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GC-91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thuringiensis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subsp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sraeliensis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serotype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H-14)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AM65-52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thuringiensis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subsp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urstaki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ABTS 351, PB 54, SA 11, SA12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EG 2348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thuringiensis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subsp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enebrionis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NB 176 (TM 14 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Baculovirus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2007/442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7537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Beauveria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bassiana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ATCC 74040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tgtFrame="_blank" w:history="1"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Substance </w:t>
              </w:r>
              <w:proofErr w:type="spellStart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>fulfilling</w:t>
              </w:r>
              <w:proofErr w:type="spellEnd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 </w:t>
              </w:r>
              <w:proofErr w:type="spellStart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>criteria</w:t>
              </w:r>
              <w:proofErr w:type="spellEnd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 </w:t>
              </w:r>
              <w:proofErr w:type="spellStart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>Annex</w:t>
              </w:r>
              <w:proofErr w:type="spellEnd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 VI </w:t>
              </w:r>
              <w:proofErr w:type="spellStart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>Reg</w:t>
              </w:r>
              <w:proofErr w:type="spellEnd"/>
              <w:r w:rsidRPr="00D257D3">
                <w:rPr>
                  <w:rFonts w:ascii="Calibri" w:hAnsi="Calibri" w:cs="Calibri"/>
                  <w:color w:val="0000FF"/>
                  <w:sz w:val="22"/>
                  <w:u w:val="single"/>
                </w:rPr>
                <w:t>. 2229/2004</w:t>
              </w:r>
            </w:hyperlink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Beauveria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brongniartii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Candida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oleophila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07/380/EC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Extension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provisional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authorisation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(2010/457)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Coniothyrium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minitans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03/79/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Cydia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pomonella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Granulovirus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CpGV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delta-endotoxin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Bacillus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thuringiensis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2002/2076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Gliocladium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catenulatum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J1446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05/2/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Helicoverpa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armigera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nucleopolyhedrovirus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HearNPV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07/560/EC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Lecanicillium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muscarium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formerly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Verticillium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lecanii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Mamestra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brassica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nuclear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polyhedrosis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2004/129/EC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Metarhizium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anisopliae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anisopliae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BIPESCO 5/F52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Neodiprion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sertifer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nuclear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polyhedrosis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2007/442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Paecilomyces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fumosoroseus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Apopka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01/47/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Extension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expiry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inclusion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(2010/77)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Paecilomyces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fumosoroseus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Fe9901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08/565/EC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Paecilomyces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lilacinus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31.7.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08/44/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7537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Phlebiopsis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gigantea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several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Pseudomonas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chlororaphis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MA342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30.9.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04/71/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Pseudomonas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DSMZ 13134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08/599/EC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Extension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provisional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authorisation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(2011/252/EU)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Pseudozyma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flocculosa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02/305/EC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Pythium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oligandrum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Spodoptera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exigua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nuclear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polyhedrosis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30.11.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07/50/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ECReg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Spodoptera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littoralis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nucleopolyhedrovirus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07/669/EC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Streptomyces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K61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formerly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griseoviridis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Streptomyces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lydicus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WYEC 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FU, 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(2011/253/EU)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asperellum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formerly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harzianum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ICC012, T25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TV1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asperellum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T34)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2010/132/EU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atroviride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formerly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harzianum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IMI 206040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atroviride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I-1237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08/565/EC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gamsii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formerly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T.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viride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ICC080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7537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harzianum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strains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T-22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ITEM 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Trichoderma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polysporum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IMI 206039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Verticillium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atrum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formerly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Verticillium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dahliae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WCS850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31.12.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2008/113Reg. (EU) No 540/2011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Substance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fulfilling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Annex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Reg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. 2229/2004</w:t>
            </w:r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Zucchini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mosaic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virus (ZYMV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mild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Application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withdrawn</w:t>
            </w:r>
            <w:proofErr w:type="spellEnd"/>
          </w:p>
        </w:tc>
      </w:tr>
      <w:tr w:rsidR="00C4601F" w:rsidRPr="00D257D3" w:rsidTr="00C4601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Zucchini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Mosaik Virus,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weak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Dossier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complete</w:t>
            </w:r>
            <w:proofErr w:type="spellEnd"/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06/586/EC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4601F" w:rsidRPr="00D257D3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4601F" w:rsidRDefault="00C4601F" w:rsidP="00C4601F">
      <w:pPr>
        <w:ind w:left="0" w:right="0"/>
        <w:rPr>
          <w:sz w:val="24"/>
        </w:rPr>
      </w:pPr>
    </w:p>
    <w:p w:rsidR="00C4601F" w:rsidRDefault="00C4601F" w:rsidP="00C4601F">
      <w:pPr>
        <w:ind w:left="0" w:right="0"/>
        <w:rPr>
          <w:sz w:val="24"/>
        </w:rPr>
      </w:pPr>
    </w:p>
    <w:p w:rsidR="00C4601F" w:rsidRPr="00D257D3" w:rsidRDefault="00C4601F" w:rsidP="00C4601F">
      <w:pPr>
        <w:widowControl/>
        <w:autoSpaceDE/>
        <w:autoSpaceDN/>
        <w:ind w:left="0" w:right="0"/>
        <w:jc w:val="left"/>
        <w:rPr>
          <w:rFonts w:ascii="Arial" w:hAnsi="Arial" w:cs="Arial"/>
          <w:sz w:val="18"/>
          <w:szCs w:val="18"/>
        </w:rPr>
      </w:pPr>
      <w:r w:rsidRPr="00D257D3">
        <w:rPr>
          <w:rFonts w:ascii="Arial" w:hAnsi="Arial" w:cs="Arial"/>
          <w:sz w:val="18"/>
          <w:szCs w:val="18"/>
        </w:rPr>
        <w:t xml:space="preserve">Vysvětlivky ke sloupci Nařízení 540/2011 a </w:t>
      </w:r>
      <w:proofErr w:type="spellStart"/>
      <w:r w:rsidRPr="00D257D3">
        <w:rPr>
          <w:rFonts w:ascii="Arial" w:hAnsi="Arial" w:cs="Arial"/>
          <w:sz w:val="18"/>
          <w:szCs w:val="18"/>
        </w:rPr>
        <w:t>Annex</w:t>
      </w:r>
      <w:proofErr w:type="spellEnd"/>
      <w:r w:rsidRPr="00D257D3">
        <w:rPr>
          <w:rFonts w:ascii="Arial" w:hAnsi="Arial" w:cs="Arial"/>
          <w:sz w:val="18"/>
          <w:szCs w:val="18"/>
        </w:rPr>
        <w:t xml:space="preserve"> I 91/414:- stav hodnocení</w:t>
      </w:r>
    </w:p>
    <w:p w:rsidR="00C4601F" w:rsidRPr="008D00C9" w:rsidRDefault="00C4601F" w:rsidP="00C4601F">
      <w:pPr>
        <w:widowControl/>
        <w:autoSpaceDE/>
        <w:autoSpaceDN/>
        <w:ind w:left="0" w:right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4601F" w:rsidRPr="009929E2" w:rsidTr="00E96F9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20"/>
              <w:gridCol w:w="3240"/>
            </w:tblGrid>
            <w:tr w:rsidR="00C4601F" w:rsidRPr="009929E2" w:rsidTr="00E96F96">
              <w:tc>
                <w:tcPr>
                  <w:tcW w:w="2520" w:type="dxa"/>
                  <w:shd w:val="clear" w:color="auto" w:fill="CCFFCC"/>
                </w:tcPr>
                <w:p w:rsidR="00C4601F" w:rsidRPr="009929E2" w:rsidRDefault="00C4601F" w:rsidP="00E96F96">
                  <w:pPr>
                    <w:widowControl/>
                    <w:autoSpaceDE/>
                    <w:autoSpaceDN/>
                    <w:ind w:left="0" w:right="0"/>
                    <w:jc w:val="center"/>
                    <w:rPr>
                      <w:rFonts w:ascii="Arial" w:hAnsi="Arial" w:cs="Arial"/>
                    </w:rPr>
                  </w:pPr>
                  <w:r w:rsidRPr="009929E2">
                    <w:rPr>
                      <w:rFonts w:ascii="Arial" w:hAnsi="Arial" w:cs="Arial"/>
                    </w:rPr>
                    <w:t>In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  <w:right w:val="nil"/>
                  </w:tcBorders>
                </w:tcPr>
                <w:p w:rsidR="00C4601F" w:rsidRPr="009929E2" w:rsidRDefault="00C4601F" w:rsidP="00E96F96">
                  <w:pPr>
                    <w:widowControl/>
                    <w:autoSpaceDE/>
                    <w:autoSpaceDN/>
                    <w:ind w:left="0" w:right="0"/>
                    <w:jc w:val="left"/>
                    <w:rPr>
                      <w:rFonts w:ascii="Arial" w:hAnsi="Arial" w:cs="Arial"/>
                    </w:rPr>
                  </w:pPr>
                  <w:r w:rsidRPr="009929E2">
                    <w:rPr>
                      <w:rFonts w:ascii="Arial" w:hAnsi="Arial" w:cs="Arial"/>
                    </w:rPr>
                    <w:t xml:space="preserve">= Zařazeno na </w:t>
                  </w:r>
                  <w:proofErr w:type="spellStart"/>
                  <w:r w:rsidRPr="009929E2">
                    <w:rPr>
                      <w:rFonts w:ascii="Arial" w:hAnsi="Arial" w:cs="Arial"/>
                    </w:rPr>
                    <w:t>Annex</w:t>
                  </w:r>
                  <w:proofErr w:type="spellEnd"/>
                  <w:r w:rsidRPr="009929E2">
                    <w:rPr>
                      <w:rFonts w:ascii="Arial" w:hAnsi="Arial" w:cs="Arial"/>
                    </w:rPr>
                    <w:t xml:space="preserve"> I</w:t>
                  </w:r>
                </w:p>
              </w:tc>
            </w:tr>
            <w:tr w:rsidR="00C4601F" w:rsidRPr="009929E2" w:rsidTr="00E96F96">
              <w:tc>
                <w:tcPr>
                  <w:tcW w:w="2520" w:type="dxa"/>
                  <w:shd w:val="clear" w:color="auto" w:fill="FFCC99"/>
                </w:tcPr>
                <w:p w:rsidR="00C4601F" w:rsidRPr="009929E2" w:rsidRDefault="00C4601F" w:rsidP="00E96F96">
                  <w:pPr>
                    <w:widowControl/>
                    <w:autoSpaceDE/>
                    <w:autoSpaceDN/>
                    <w:ind w:left="0" w:righ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929E2">
                    <w:rPr>
                      <w:rFonts w:ascii="Arial" w:hAnsi="Arial" w:cs="Arial"/>
                    </w:rPr>
                    <w:t>Out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bottom w:val="nil"/>
                    <w:right w:val="nil"/>
                  </w:tcBorders>
                </w:tcPr>
                <w:p w:rsidR="00C4601F" w:rsidRPr="009929E2" w:rsidRDefault="00C4601F" w:rsidP="00E96F96">
                  <w:pPr>
                    <w:widowControl/>
                    <w:autoSpaceDE/>
                    <w:autoSpaceDN/>
                    <w:ind w:left="0" w:right="0"/>
                    <w:jc w:val="left"/>
                    <w:rPr>
                      <w:rFonts w:ascii="Arial" w:hAnsi="Arial" w:cs="Arial"/>
                    </w:rPr>
                  </w:pPr>
                  <w:r w:rsidRPr="009929E2">
                    <w:rPr>
                      <w:rFonts w:ascii="Arial" w:hAnsi="Arial" w:cs="Arial"/>
                    </w:rPr>
                    <w:t xml:space="preserve">= Nezařazeno na </w:t>
                  </w:r>
                  <w:proofErr w:type="spellStart"/>
                  <w:r w:rsidRPr="009929E2">
                    <w:rPr>
                      <w:rFonts w:ascii="Arial" w:hAnsi="Arial" w:cs="Arial"/>
                    </w:rPr>
                    <w:t>Annex</w:t>
                  </w:r>
                  <w:proofErr w:type="spellEnd"/>
                  <w:r w:rsidRPr="009929E2">
                    <w:rPr>
                      <w:rFonts w:ascii="Arial" w:hAnsi="Arial" w:cs="Arial"/>
                    </w:rPr>
                    <w:t xml:space="preserve"> I</w:t>
                  </w:r>
                </w:p>
              </w:tc>
            </w:tr>
            <w:tr w:rsidR="00C4601F" w:rsidRPr="009929E2" w:rsidTr="00E96F96">
              <w:trPr>
                <w:trHeight w:val="70"/>
              </w:trPr>
              <w:tc>
                <w:tcPr>
                  <w:tcW w:w="2520" w:type="dxa"/>
                  <w:shd w:val="clear" w:color="auto" w:fill="FFFF99"/>
                </w:tcPr>
                <w:p w:rsidR="00C4601F" w:rsidRPr="009929E2" w:rsidRDefault="00C4601F" w:rsidP="00E96F96">
                  <w:pPr>
                    <w:widowControl/>
                    <w:autoSpaceDE/>
                    <w:autoSpaceDN/>
                    <w:ind w:left="0" w:righ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929E2">
                    <w:rPr>
                      <w:rFonts w:ascii="Arial" w:hAnsi="Arial" w:cs="Arial"/>
                    </w:rPr>
                    <w:t>Pending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nil"/>
                    <w:bottom w:val="nil"/>
                    <w:right w:val="nil"/>
                  </w:tcBorders>
                </w:tcPr>
                <w:p w:rsidR="00C4601F" w:rsidRPr="009929E2" w:rsidRDefault="00C4601F" w:rsidP="00E96F96">
                  <w:pPr>
                    <w:widowControl/>
                    <w:autoSpaceDE/>
                    <w:autoSpaceDN/>
                    <w:ind w:left="0" w:right="0"/>
                    <w:jc w:val="left"/>
                    <w:rPr>
                      <w:rFonts w:ascii="Arial" w:hAnsi="Arial" w:cs="Arial"/>
                    </w:rPr>
                  </w:pPr>
                  <w:r w:rsidRPr="009929E2">
                    <w:rPr>
                      <w:rFonts w:ascii="Arial" w:hAnsi="Arial" w:cs="Arial"/>
                    </w:rPr>
                    <w:t>= dosud v projednávání</w:t>
                  </w:r>
                </w:p>
              </w:tc>
            </w:tr>
          </w:tbl>
          <w:p w:rsidR="00C4601F" w:rsidRPr="009929E2" w:rsidRDefault="00C4601F" w:rsidP="00E96F96">
            <w:pPr>
              <w:widowControl/>
              <w:autoSpaceDE/>
              <w:autoSpaceDN/>
              <w:ind w:left="0" w:right="0"/>
              <w:jc w:val="left"/>
              <w:rPr>
                <w:rFonts w:ascii="Arial" w:hAnsi="Arial" w:cs="Arial"/>
              </w:rPr>
            </w:pPr>
          </w:p>
        </w:tc>
      </w:tr>
    </w:tbl>
    <w:p w:rsidR="00C4601F" w:rsidRDefault="00C4601F" w:rsidP="00C4601F">
      <w:pPr>
        <w:ind w:left="0" w:right="0"/>
        <w:rPr>
          <w:sz w:val="24"/>
        </w:rPr>
      </w:pPr>
    </w:p>
    <w:p w:rsidR="00EF3011" w:rsidRDefault="00EF3011" w:rsidP="00C4601F">
      <w:pPr>
        <w:ind w:left="142" w:right="-284" w:hanging="142"/>
      </w:pPr>
    </w:p>
    <w:sectPr w:rsidR="00EF3011" w:rsidSect="00C4601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C4601F"/>
    <w:rsid w:val="007537AF"/>
    <w:rsid w:val="00C4601F"/>
    <w:rsid w:val="00E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01F"/>
    <w:pPr>
      <w:widowControl w:val="0"/>
      <w:autoSpaceDE w:val="0"/>
      <w:autoSpaceDN w:val="0"/>
      <w:spacing w:after="0" w:line="240" w:lineRule="auto"/>
      <w:ind w:left="1418" w:right="1418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01F"/>
    <w:pPr>
      <w:widowControl/>
      <w:autoSpaceDE/>
      <w:autoSpaceDN/>
      <w:ind w:left="0" w:righ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0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46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ELEX:32009D0579:EN:NOT" TargetMode="External"/><Relationship Id="rId5" Type="http://schemas.openxmlformats.org/officeDocument/2006/relationships/hyperlink" Target="http://eur-lex.europa.eu/LexUriServ/LexUriServ.do?uri=CELEX:32011D0490:EN:NOT" TargetMode="External"/><Relationship Id="rId4" Type="http://schemas.openxmlformats.org/officeDocument/2006/relationships/hyperlink" Target="http://eur-lex.europa.eu/LexUriServ/LexUriServ.do?uri=CELEX:32012R0746:EN:N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Navratilova</dc:creator>
  <cp:lastModifiedBy>M Navratilova</cp:lastModifiedBy>
  <cp:revision>2</cp:revision>
  <dcterms:created xsi:type="dcterms:W3CDTF">2013-02-26T19:00:00Z</dcterms:created>
  <dcterms:modified xsi:type="dcterms:W3CDTF">2013-02-26T19:04:00Z</dcterms:modified>
</cp:coreProperties>
</file>